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noProof/>
          <w:color w:val="333333"/>
          <w:sz w:val="28"/>
          <w:szCs w:val="28"/>
          <w:bdr w:val="none" w:sz="0" w:space="0" w:color="auto" w:frame="1"/>
          <w:lang w:val="hr-HR"/>
        </w:rPr>
      </w:pPr>
      <w:r w:rsidRPr="00315EBB">
        <w:rPr>
          <w:rStyle w:val="Strong"/>
          <w:rFonts w:ascii="Arial" w:hAnsi="Arial" w:cs="Arial"/>
          <w:b w:val="0"/>
          <w:noProof/>
          <w:color w:val="333333"/>
          <w:sz w:val="28"/>
          <w:szCs w:val="28"/>
          <w:bdr w:val="none" w:sz="0" w:space="0" w:color="auto" w:frame="1"/>
          <w:lang w:val="hr-HR"/>
        </w:rPr>
        <w:t>Arhiva dokumenata Instituta Pilar</w:t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Style w:val="Strong"/>
          <w:rFonts w:ascii="Arial" w:hAnsi="Arial" w:cs="Arial"/>
          <w:noProof/>
          <w:color w:val="333333"/>
          <w:sz w:val="20"/>
          <w:szCs w:val="20"/>
          <w:bdr w:val="none" w:sz="0" w:space="0" w:color="auto" w:frame="1"/>
          <w:shd w:val="clear" w:color="auto" w:fill="FFFFFF"/>
          <w:lang w:val="hr-HR"/>
        </w:rPr>
        <w:t>Zakoni, kolektivni ugovori i strategije</w:t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– </w:t>
      </w:r>
      <w:hyperlink r:id="rId4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Strategija Instituta društvenih znanosti Ivo Pilar 2015.-2020.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 </w:t>
      </w:r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5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Akcijski plan Instituta društvenih znanosti Ivo Pilar 2015.-2020.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Style w:val="Strong"/>
          <w:rFonts w:ascii="Arial" w:hAnsi="Arial" w:cs="Arial"/>
          <w:noProof/>
          <w:color w:val="333333"/>
          <w:sz w:val="20"/>
          <w:szCs w:val="20"/>
          <w:bdr w:val="none" w:sz="0" w:space="0" w:color="auto" w:frame="1"/>
          <w:shd w:val="clear" w:color="auto" w:fill="FFFFFF"/>
          <w:lang w:val="hr-HR"/>
        </w:rPr>
        <w:t>Statut, pravilnici, poslovnici i drugi opći akti</w:t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315EBB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– </w:t>
      </w:r>
      <w:hyperlink r:id="rId6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unutarnjem ustroju i ustrojstvu radnih mjesta 2016.</w:t>
        </w:r>
      </w:hyperlink>
      <w:r w:rsidR="00F801F7">
        <w:rPr>
          <w:rStyle w:val="Hyperlink"/>
          <w:rFonts w:ascii="Arial" w:hAnsi="Arial" w:cs="Arial"/>
          <w:noProof/>
          <w:color w:val="0078AD"/>
          <w:sz w:val="20"/>
          <w:szCs w:val="20"/>
          <w:u w:val="none"/>
          <w:bdr w:val="none" w:sz="0" w:space="0" w:color="auto" w:frame="1"/>
          <w:lang w:val="hr-HR"/>
        </w:rPr>
        <w:br/>
      </w:r>
      <w:r w:rsidR="00F801F7"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– </w:t>
      </w:r>
      <w:hyperlink r:id="rId7" w:history="1">
        <w:r w:rsidR="00F801F7" w:rsidRPr="00F801F7">
          <w:rPr>
            <w:rStyle w:val="Hyperlink"/>
            <w:rFonts w:ascii="Arial" w:hAnsi="Arial" w:cs="Arial"/>
            <w:noProof/>
            <w:sz w:val="20"/>
            <w:szCs w:val="20"/>
            <w:u w:val="none"/>
            <w:lang w:val="hr-HR"/>
          </w:rPr>
          <w:t>Pravilnik o unutarnjem ustroju i ustrojstvu radnih mjesta 2022.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8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dodjeli počasnog zvanja zaslužni znanstvenik i pravima zaslužnog znanstvenika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9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korištenju slobodne studijske godine (sabbatical)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0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korištenju službenog automobila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1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Pravilnik o stvaranju ugovornih obveza i postupka jednostavne nabave</w:t>
        </w:r>
      </w:hyperlink>
    </w:p>
    <w:p w:rsidR="00315EBB" w:rsidRPr="00315EBB" w:rsidRDefault="00315EBB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Tahoma" w:hAnsi="Tahoma" w:cs="Tahoma"/>
          <w:noProof/>
          <w:color w:val="333333"/>
          <w:sz w:val="20"/>
          <w:szCs w:val="20"/>
          <w:shd w:val="clear" w:color="auto" w:fill="FFFFFF"/>
          <w:lang w:val="hr-HR"/>
        </w:rPr>
        <w:t>– </w:t>
      </w:r>
      <w:hyperlink r:id="rId12" w:history="1">
        <w:r w:rsidRPr="00315EBB">
          <w:rPr>
            <w:rStyle w:val="Hyperlink"/>
            <w:rFonts w:ascii="Tahoma" w:hAnsi="Tahoma" w:cs="Tahoma"/>
            <w:noProof/>
            <w:color w:val="0078AD"/>
            <w:sz w:val="20"/>
            <w:szCs w:val="20"/>
            <w:u w:val="none"/>
            <w:bdr w:val="none" w:sz="0" w:space="0" w:color="auto" w:frame="1"/>
            <w:shd w:val="clear" w:color="auto" w:fill="FFFFFF"/>
            <w:lang w:val="hr-HR"/>
          </w:rPr>
          <w:t>Pravilnik o vrednovanju rada asistenata, poslijedoktoranada i mentora</w:t>
        </w:r>
      </w:hyperlink>
    </w:p>
    <w:p w:rsidR="000C1D6D" w:rsidRDefault="00315EBB" w:rsidP="00AE1C25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Tahoma" w:hAnsi="Tahoma" w:cs="Tahoma"/>
          <w:noProof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  <w:lang w:val="hr-HR"/>
        </w:rPr>
      </w:pPr>
      <w:r w:rsidRPr="00315EBB">
        <w:rPr>
          <w:rFonts w:ascii="Tahoma" w:hAnsi="Tahoma" w:cs="Tahoma"/>
          <w:noProof/>
          <w:color w:val="333333"/>
          <w:sz w:val="20"/>
          <w:szCs w:val="20"/>
          <w:shd w:val="clear" w:color="auto" w:fill="FFFFFF"/>
          <w:lang w:val="hr-HR"/>
        </w:rPr>
        <w:t>– </w:t>
      </w:r>
      <w:hyperlink r:id="rId13" w:history="1">
        <w:r w:rsidRPr="00315EBB">
          <w:rPr>
            <w:rStyle w:val="Hyperlink"/>
            <w:rFonts w:ascii="Tahoma" w:hAnsi="Tahoma" w:cs="Tahoma"/>
            <w:noProof/>
            <w:color w:val="0078AD"/>
            <w:sz w:val="20"/>
            <w:szCs w:val="20"/>
            <w:u w:val="none"/>
            <w:bdr w:val="none" w:sz="0" w:space="0" w:color="auto" w:frame="1"/>
            <w:shd w:val="clear" w:color="auto" w:fill="FFFFFF"/>
            <w:lang w:val="hr-HR"/>
          </w:rPr>
          <w:t>Poslovnik o radu Znanstvenog vijeća, 2020.</w:t>
        </w:r>
      </w:hyperlink>
    </w:p>
    <w:p w:rsidR="00AE1C25" w:rsidRPr="00315EBB" w:rsidRDefault="000C1D6D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Tahoma" w:hAnsi="Tahoma" w:cs="Tahoma"/>
          <w:noProof/>
          <w:color w:val="333333"/>
          <w:sz w:val="20"/>
          <w:szCs w:val="20"/>
          <w:shd w:val="clear" w:color="auto" w:fill="FFFFFF"/>
          <w:lang w:val="hr-HR"/>
        </w:rPr>
        <w:t>–</w:t>
      </w:r>
      <w:r>
        <w:rPr>
          <w:rStyle w:val="Hyperlink"/>
          <w:rFonts w:ascii="Tahoma" w:hAnsi="Tahoma" w:cs="Tahoma"/>
          <w:noProof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  <w:lang w:val="hr-HR"/>
        </w:rPr>
        <w:t xml:space="preserve"> </w:t>
      </w:r>
      <w:hyperlink r:id="rId14" w:history="1">
        <w:r w:rsidRPr="000C1D6D">
          <w:rPr>
            <w:rStyle w:val="Hyperlink"/>
            <w:rFonts w:ascii="Tahoma" w:hAnsi="Tahoma" w:cs="Tahoma"/>
            <w:noProof/>
            <w:sz w:val="20"/>
            <w:szCs w:val="20"/>
            <w:bdr w:val="none" w:sz="0" w:space="0" w:color="auto" w:frame="1"/>
            <w:shd w:val="clear" w:color="auto" w:fill="FFFFFF"/>
            <w:lang w:val="hr-HR"/>
          </w:rPr>
          <w:t>Poslovnik o podrucnim centrima, 2012.</w:t>
        </w:r>
      </w:hyperlink>
      <w:r w:rsidR="00AE1C25"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5" w:history="1">
        <w:r w:rsidR="00AE1C25"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Odluka o naknadi za postupak davanja mišljenja o ispunjavanju uvjeta za izbore u znanstvena zvanja</w:t>
        </w:r>
      </w:hyperlink>
      <w:r w:rsidR="00AE1C25"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Style w:val="Strong"/>
          <w:rFonts w:ascii="Arial" w:hAnsi="Arial" w:cs="Arial"/>
          <w:noProof/>
          <w:color w:val="333333"/>
          <w:sz w:val="20"/>
          <w:szCs w:val="20"/>
          <w:bdr w:val="none" w:sz="0" w:space="0" w:color="auto" w:frame="1"/>
          <w:shd w:val="clear" w:color="auto" w:fill="FFFFFF"/>
          <w:lang w:val="hr-HR"/>
        </w:rPr>
        <w:t>Godišnja izvješća o radu</w:t>
      </w: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</w:p>
    <w:p w:rsidR="00AE1C25" w:rsidRPr="00315EBB" w:rsidRDefault="00AE1C25" w:rsidP="00AE1C2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0"/>
          <w:szCs w:val="20"/>
          <w:lang w:val="hr-HR"/>
        </w:rPr>
      </w:pPr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t>– </w:t>
      </w:r>
      <w:hyperlink r:id="rId16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2019. godinu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7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2018. godinu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8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2017. godinu</w:t>
        </w:r>
      </w:hyperlink>
      <w:bookmarkStart w:id="0" w:name="_GoBack"/>
      <w:bookmarkEnd w:id="0"/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19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2016. godinu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20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2015. godinu</w:t>
        </w:r>
      </w:hyperlink>
      <w:r w:rsidRPr="00315EBB">
        <w:rPr>
          <w:rFonts w:ascii="Arial" w:hAnsi="Arial" w:cs="Arial"/>
          <w:noProof/>
          <w:color w:val="333333"/>
          <w:sz w:val="20"/>
          <w:szCs w:val="20"/>
          <w:lang w:val="hr-HR"/>
        </w:rPr>
        <w:br/>
        <w:t>– </w:t>
      </w:r>
      <w:hyperlink r:id="rId21" w:history="1">
        <w:r w:rsidRPr="00315EBB">
          <w:rPr>
            <w:rStyle w:val="Hyperlink"/>
            <w:rFonts w:ascii="Arial" w:hAnsi="Arial" w:cs="Arial"/>
            <w:noProof/>
            <w:color w:val="0078AD"/>
            <w:sz w:val="20"/>
            <w:szCs w:val="20"/>
            <w:u w:val="none"/>
            <w:bdr w:val="none" w:sz="0" w:space="0" w:color="auto" w:frame="1"/>
            <w:lang w:val="hr-HR"/>
          </w:rPr>
          <w:t>Poslovno izvješće za 2014. godinu</w:t>
        </w:r>
      </w:hyperlink>
    </w:p>
    <w:p w:rsidR="00AE1C25" w:rsidRDefault="00AE1C25">
      <w:pPr>
        <w:rPr>
          <w:rFonts w:ascii="Arial" w:hAnsi="Arial" w:cs="Arial"/>
          <w:noProof/>
          <w:lang w:val="hr-HR"/>
        </w:rPr>
      </w:pPr>
    </w:p>
    <w:p w:rsidR="00DD2685" w:rsidRPr="00DD2685" w:rsidRDefault="00DD2685">
      <w:pPr>
        <w:rPr>
          <w:rFonts w:ascii="Arial" w:hAnsi="Arial" w:cs="Arial"/>
          <w:b/>
          <w:noProof/>
          <w:sz w:val="20"/>
          <w:szCs w:val="20"/>
          <w:lang w:val="hr-HR"/>
        </w:rPr>
      </w:pPr>
      <w:r w:rsidRPr="00DD2685">
        <w:rPr>
          <w:rFonts w:ascii="Arial" w:hAnsi="Arial" w:cs="Arial"/>
          <w:b/>
          <w:noProof/>
          <w:sz w:val="20"/>
          <w:szCs w:val="20"/>
          <w:lang w:val="hr-HR"/>
        </w:rPr>
        <w:t>Izvješća o provedbi Zakona o pravu na pristup informacijama</w:t>
      </w:r>
    </w:p>
    <w:p w:rsid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– </w:t>
      </w:r>
      <w:proofErr w:type="spellStart"/>
      <w:r>
        <w:fldChar w:fldCharType="begin"/>
      </w:r>
      <w:r>
        <w:instrText xml:space="preserve"> HYPERLINK "https://www.pilar.hr/wp-content/uploads/2021/01/Izv_ZPPI_2019.pdf" </w:instrText>
      </w:r>
      <w:r>
        <w:fldChar w:fldCharType="separate"/>
      </w:r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Izvješće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provedbi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Zakona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pravu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na</w:t>
      </w:r>
      <w:proofErr w:type="spellEnd"/>
      <w:proofErr w:type="gram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pristup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informacijama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>za</w:t>
      </w:r>
      <w:proofErr w:type="spellEnd"/>
      <w:r w:rsidRPr="00DD2685">
        <w:rPr>
          <w:rStyle w:val="Hyperlink"/>
          <w:rFonts w:ascii="Tahoma" w:hAnsi="Tahoma" w:cs="Tahoma"/>
          <w:color w:val="0078AD"/>
          <w:sz w:val="20"/>
          <w:szCs w:val="20"/>
          <w:u w:val="none"/>
          <w:bdr w:val="none" w:sz="0" w:space="0" w:color="auto" w:frame="1"/>
          <w:shd w:val="clear" w:color="auto" w:fill="FFFFFF"/>
        </w:rPr>
        <w:t xml:space="preserve"> 2019.</w:t>
      </w:r>
      <w:r>
        <w:fldChar w:fldCharType="end"/>
      </w:r>
    </w:p>
    <w:p w:rsid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</w:p>
    <w:p w:rsid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</w:p>
    <w:p w:rsid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</w:p>
    <w:p w:rsidR="00DD2685" w:rsidRPr="00DD2685" w:rsidRDefault="00DD2685">
      <w:pPr>
        <w:rPr>
          <w:rFonts w:ascii="Arial" w:hAnsi="Arial" w:cs="Arial"/>
          <w:noProof/>
          <w:sz w:val="20"/>
          <w:szCs w:val="20"/>
          <w:lang w:val="hr-HR"/>
        </w:rPr>
      </w:pPr>
    </w:p>
    <w:sectPr w:rsidR="00DD2685" w:rsidRPr="00DD2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5"/>
    <w:rsid w:val="000C1D6D"/>
    <w:rsid w:val="00315EBB"/>
    <w:rsid w:val="00AA2F59"/>
    <w:rsid w:val="00AE1C25"/>
    <w:rsid w:val="00DD2685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F2A1D-F45A-4A15-8DE3-C5BBAF1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E1C25"/>
    <w:rPr>
      <w:b/>
      <w:bCs/>
    </w:rPr>
  </w:style>
  <w:style w:type="character" w:styleId="Hyperlink">
    <w:name w:val="Hyperlink"/>
    <w:basedOn w:val="DefaultParagraphFont"/>
    <w:uiPriority w:val="99"/>
    <w:unhideWhenUsed/>
    <w:rsid w:val="00AE1C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1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ar.hr/wp-content/uploads/2021/06/Pravilnik_o_dodjeli_pocasnog_zvanja_zasluzni_znanstvenik.pdf" TargetMode="External"/><Relationship Id="rId13" Type="http://schemas.openxmlformats.org/officeDocument/2006/relationships/hyperlink" Target="https://www.pilar.hr/wp-content/uploads/2020/11/Poslovnik_Znanstveno_vijece_2020.pdf" TargetMode="External"/><Relationship Id="rId18" Type="http://schemas.openxmlformats.org/officeDocument/2006/relationships/hyperlink" Target="https://www.pilar.hr/wp-content/uploads/2018/02/POSLOVNO_2017_novo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ilar.hr/wp-content/images/stories/dokumenti/_akti_instituta/POSLOVNO_2014_WEB.pdf" TargetMode="External"/><Relationship Id="rId7" Type="http://schemas.openxmlformats.org/officeDocument/2006/relationships/hyperlink" Target="https://www.pilar.hr/wp-content/uploads/2022/01/Pravilnik_o_unutarnjem_ustroju_i_ustrojstvu_radnih_mjesta_2022.pdf" TargetMode="External"/><Relationship Id="rId12" Type="http://schemas.openxmlformats.org/officeDocument/2006/relationships/hyperlink" Target="https://www.pilar.hr/wp-content/images/stories/dokumenti/_akti_instituta/Pravilnik_vrednovanje_2015.pdf" TargetMode="External"/><Relationship Id="rId17" Type="http://schemas.openxmlformats.org/officeDocument/2006/relationships/hyperlink" Target="https://www.pilar.hr/wp-content/uploads/2019/02/POSLOVNO_2018_bez-fin_fi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ilar.hr/wp-content/uploads/2020/02/INSTITUT_PILAR_POSLOVNO_IZVJESCE_2019.pdf" TargetMode="External"/><Relationship Id="rId20" Type="http://schemas.openxmlformats.org/officeDocument/2006/relationships/hyperlink" Target="https://www.pilar.hr/wp-content/images/stories/dokumenti/_akti_instituta/POSLOVNO_2015_WEB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lar.hr/wp-content/images/stories/dokumenti/_akti_instituta/Pravilnik_o_unutarnjem_ustroju_2016.pdf" TargetMode="External"/><Relationship Id="rId11" Type="http://schemas.openxmlformats.org/officeDocument/2006/relationships/hyperlink" Target="https://www.pilar.hr/wp-content/uploads/2019/10/Pravilnik_ugovorne_obveze_jednostavne_nabave.pdf" TargetMode="External"/><Relationship Id="rId5" Type="http://schemas.openxmlformats.org/officeDocument/2006/relationships/hyperlink" Target="https://www.pilar.hr/wp-content/images/stories/dokumenti/_akti_instituta/AKCIJSKI_PLAN_2015-2020.pdf" TargetMode="External"/><Relationship Id="rId15" Type="http://schemas.openxmlformats.org/officeDocument/2006/relationships/hyperlink" Target="https://www.pilar.hr/wp-content/uploads/2018/03/Odluka_o_naknadi_izbora_u_zvanj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ilar.hr/wp-content/uploads/2019/11/Pravilnik_o_koristenju_sluzbenog_automobila.pdf" TargetMode="External"/><Relationship Id="rId19" Type="http://schemas.openxmlformats.org/officeDocument/2006/relationships/hyperlink" Target="https://www.pilar.hr/wp-content/uploads/2017/12/Poslovno_izvjesce_2016_web.pdf" TargetMode="External"/><Relationship Id="rId4" Type="http://schemas.openxmlformats.org/officeDocument/2006/relationships/hyperlink" Target="https://www.pilar.hr/wp-content/images/stories/dokumenti/_akti_instituta/Strategija_Instituta_Ivo_Pilar_2015-2020.pdf" TargetMode="External"/><Relationship Id="rId9" Type="http://schemas.openxmlformats.org/officeDocument/2006/relationships/hyperlink" Target="https://www.pilar.hr/wp-content/uploads/2019/07/Pravilnik_o_sabbaticalu_2019.pdf" TargetMode="External"/><Relationship Id="rId14" Type="http://schemas.openxmlformats.org/officeDocument/2006/relationships/hyperlink" Target="https://www.pilar.hr/wp-content/uploads/2026/01/Poslovnik_o_podrucnim_centrim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2026-07-18T09:16:00Z</dcterms:created>
  <dcterms:modified xsi:type="dcterms:W3CDTF">2026-07-18T09:16:00Z</dcterms:modified>
</cp:coreProperties>
</file>