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</w:pPr>
      <w:proofErr w:type="spellStart"/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Arh</w:t>
      </w:r>
      <w:bookmarkStart w:id="0" w:name="_GoBack"/>
      <w:bookmarkEnd w:id="0"/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iv</w:t>
      </w:r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a</w:t>
      </w:r>
      <w:proofErr w:type="spellEnd"/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dokumenata</w:t>
      </w:r>
      <w:proofErr w:type="spellEnd"/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Instituta</w:t>
      </w:r>
      <w:proofErr w:type="spellEnd"/>
      <w:r w:rsidRPr="00AE1C25">
        <w:rPr>
          <w:rStyle w:val="Strong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 xml:space="preserve"> Pilar</w:t>
      </w: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Zakoni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kolektivni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ugovori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strategije</w:t>
      </w:r>
      <w:proofErr w:type="spellEnd"/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"https://www.pilar.hr/wp-content/images/stories/dokumenti/_akti_instituta/Strategija_Instituta_Ivo_Pilar_2015-2020.pdf"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Strategija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Instituta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društvenih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znanosti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Ivo Pilar 2015.-2020.</w:t>
      </w:r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t> </w:t>
      </w:r>
      <w:r w:rsidRPr="00AE1C25">
        <w:rPr>
          <w:rFonts w:ascii="Arial" w:hAnsi="Arial" w:cs="Arial"/>
          <w:color w:val="333333"/>
          <w:sz w:val="20"/>
          <w:szCs w:val="20"/>
        </w:rPr>
        <w:br/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"https://www.pilar.hr/wp-content/images/stories/dokumenti/_akti_instituta/AKCIJSKI_PLAN_2015-2020.pdf"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Akcijski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plan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Instituta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društvenih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znanosti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Ivo Pilar 2015.-2020.</w:t>
      </w:r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</w: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Statut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pravilnici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poslovnici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drugi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opći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akti</w:t>
      </w:r>
      <w:proofErr w:type="spellEnd"/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"https://www.pilar.hr/wp-content/images/stories/dokumenti/_akti_instituta/Pravilnik_o_unutarnjem_ustroju_2016.pdf"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Pravilnik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o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unutarnjem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ustroju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ustrojstvu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radnih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mjesta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2016.</w:t>
      </w:r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"https://www.pilar.hr/wp-content/uploads/2021/06/Pravilnik_o_dodjeli_pocasnog_zvanja_zasluzni_znanstvenik.pdf"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Pravilnik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o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dodjeli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počasnog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zvanja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zaslužni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znanstvenik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pravima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zaslužnog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znanstvenika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"https://www.pilar.hr/wp-content/uploads/2019/07/Pravilnik_o_sabbaticalu_2019.pdf"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Pravilnik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o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korištenju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slobodne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studijske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godine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(sabbatical)</w:t>
      </w:r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"https://www.pilar.hr/wp-content/uploads/2019/11/Pravilnik_o_koristenju_sluzbenog_automobila.pdf"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Pravilnik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o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korištenju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službenog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automobila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"https://www.pilar.hr/wp-content/uploads/2019/10/Pravilnik_ugovorne_obveze_jednostavne_nabave.pdf"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Pravilnik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o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stvaranju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ugovornih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obveza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postupka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jednostavne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nabave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"https://www.pilar.hr/wp-content/uploads/2018/03/Odluka_o_naknadi_izbora_u_zvanje.pdf"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Odluka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o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naknadi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postupak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davanja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mišljenja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o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ispunjavanju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uvjeta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izbore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u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znanstvena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zvanja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</w: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Godišnja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izvješća</w:t>
      </w:r>
      <w:proofErr w:type="spellEnd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AE1C25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radu</w:t>
      </w:r>
      <w:proofErr w:type="spellEnd"/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AE1C25" w:rsidRPr="00AE1C25" w:rsidRDefault="00AE1C25" w:rsidP="00AE1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"https://www.pilar.hr/wp-content/uploads/2020/02/INSTITUT_PILAR_POSLOVNO_IZVJESCE_2019.pdf"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Poslovno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izvješće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2019. </w:t>
      </w:r>
      <w:proofErr w:type="spellStart"/>
      <w:proofErr w:type="gram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godinu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</w:r>
      <w:proofErr w:type="gramEnd"/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"https://www.pilar.hr/wp-content/uploads/2019/02/POSLOVNO_2018_bez-fin_fin.pdf"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Poslovno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izvješće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2018. </w:t>
      </w:r>
      <w:proofErr w:type="spellStart"/>
      <w:proofErr w:type="gram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godinu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</w:r>
      <w:proofErr w:type="gramEnd"/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"https://www.pilar.hr/wp-content/uploads/2018/02/POSLOVNO_2017_novo.pdf"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Poslovno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izvješće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2017. </w:t>
      </w:r>
      <w:proofErr w:type="spellStart"/>
      <w:proofErr w:type="gram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godinu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</w:r>
      <w:proofErr w:type="gramEnd"/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"https://www.pilar.hr/wp-content/uploads/2017/12/Poslovno_izvjesce_2016_web.pdf"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Poslovno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izvješće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2016. </w:t>
      </w:r>
      <w:proofErr w:type="spellStart"/>
      <w:proofErr w:type="gram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godinu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</w:r>
      <w:proofErr w:type="gramEnd"/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"https://www.pilar.hr/wp-content/images/stories/dokumenti/_akti_instituta/POSLOVNO_2015_WEB.pdf"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Poslovno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izvješće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2015. </w:t>
      </w:r>
      <w:proofErr w:type="spellStart"/>
      <w:proofErr w:type="gram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godinu</w:t>
      </w:r>
      <w:proofErr w:type="spell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  <w:r w:rsidRPr="00AE1C25">
        <w:rPr>
          <w:rFonts w:ascii="Arial" w:hAnsi="Arial" w:cs="Arial"/>
          <w:color w:val="333333"/>
          <w:sz w:val="20"/>
          <w:szCs w:val="20"/>
        </w:rPr>
        <w:br/>
      </w:r>
      <w:proofErr w:type="gramEnd"/>
      <w:r w:rsidRPr="00AE1C25">
        <w:rPr>
          <w:rFonts w:ascii="Arial" w:hAnsi="Arial" w:cs="Arial"/>
          <w:color w:val="333333"/>
          <w:sz w:val="20"/>
          <w:szCs w:val="20"/>
        </w:rPr>
        <w:t>– </w:t>
      </w:r>
      <w:proofErr w:type="spellStart"/>
      <w:r w:rsidRPr="00AE1C25">
        <w:rPr>
          <w:rFonts w:ascii="Arial" w:hAnsi="Arial" w:cs="Arial"/>
          <w:color w:val="333333"/>
          <w:sz w:val="20"/>
          <w:szCs w:val="20"/>
        </w:rPr>
        <w:fldChar w:fldCharType="begin"/>
      </w:r>
      <w:r w:rsidRPr="00AE1C25">
        <w:rPr>
          <w:rFonts w:ascii="Arial" w:hAnsi="Arial" w:cs="Arial"/>
          <w:color w:val="333333"/>
          <w:sz w:val="20"/>
          <w:szCs w:val="20"/>
        </w:rPr>
        <w:instrText xml:space="preserve"> HYPERLINK "https://www.pilar.hr/wp-content/images/stories/dokumenti/_akti_instituta/POSLOVNO_2014_WEB.pdf" </w:instrText>
      </w:r>
      <w:r w:rsidRPr="00AE1C25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Poslovno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izvješće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za</w:t>
      </w:r>
      <w:proofErr w:type="spellEnd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 xml:space="preserve"> 2014. </w:t>
      </w:r>
      <w:proofErr w:type="spellStart"/>
      <w:proofErr w:type="gramStart"/>
      <w:r w:rsidRPr="00AE1C25">
        <w:rPr>
          <w:rStyle w:val="Hyperlink"/>
          <w:rFonts w:ascii="Arial" w:hAnsi="Arial" w:cs="Arial"/>
          <w:color w:val="0078AD"/>
          <w:sz w:val="20"/>
          <w:szCs w:val="20"/>
          <w:u w:val="none"/>
          <w:bdr w:val="none" w:sz="0" w:space="0" w:color="auto" w:frame="1"/>
        </w:rPr>
        <w:t>godinu</w:t>
      </w:r>
      <w:proofErr w:type="spellEnd"/>
      <w:proofErr w:type="gramEnd"/>
      <w:r w:rsidRPr="00AE1C25"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AE1C25" w:rsidRPr="00AE1C25" w:rsidRDefault="00AE1C25">
      <w:pPr>
        <w:rPr>
          <w:rFonts w:ascii="Arial" w:hAnsi="Arial" w:cs="Arial"/>
        </w:rPr>
      </w:pPr>
    </w:p>
    <w:sectPr w:rsidR="00AE1C25" w:rsidRPr="00AE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5"/>
    <w:rsid w:val="00AA2F59"/>
    <w:rsid w:val="00A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2A1D-F45A-4A15-8DE3-C5BBAF1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1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1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2024-03-01T08:06:00Z</dcterms:created>
  <dcterms:modified xsi:type="dcterms:W3CDTF">2024-03-01T08:12:00Z</dcterms:modified>
</cp:coreProperties>
</file>